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B4452D"/>
          <w:sz w:val="20"/>
        </w:rPr>
        <w:t>COMPANION MATERIAL</w:t>
      </w:r>
    </w:p>
    <w:p>
      <w:pPr>
        <w:pStyle w:val="Title"/>
        <w:jc w:val="center"/>
      </w:pPr>
      <w:r>
        <w:t>90-Day SMART OKR Implementation Guide</w:t>
      </w:r>
    </w:p>
    <w:p>
      <w:pPr>
        <w:jc w:val="center"/>
      </w:pPr>
      <w:r>
        <w:rPr>
          <w:color w:val="17365D"/>
          <w:sz w:val="22"/>
        </w:rPr>
        <w:t>A controlled pilot roadmap from readiness diagnosis to a responsible scaling decision</w:t>
      </w:r>
    </w:p>
    <w:p>
      <w:pPr>
        <w:jc w:val="center"/>
      </w:pPr>
      <w:r>
        <w:rPr>
          <w:i/>
          <w:color w:val="B4452D"/>
          <w:sz w:val="20"/>
        </w:rPr>
        <w:t>SMART OKRs: From Strategic Formulation to Results-Driven Execution</w:t>
      </w:r>
    </w:p>
    <w:p>
      <w:pPr>
        <w:jc w:val="center"/>
      </w:pPr>
      <w:r>
        <w:rPr>
          <w:b/>
          <w:color w:val="17365D"/>
          <w:sz w:val="20"/>
        </w:rPr>
        <w:t>Cristiano de Moraes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78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rFonts w:ascii="Aptos" w:hAnsi="Aptos"/>
                <w:b w:val="0"/>
                <w:color w:val="1F1F1F"/>
                <w:sz w:val="18"/>
              </w:rPr>
              <w:t>How to use</w:t>
              <w:br/>
              <w:t>This roadmap assumes a controlled pilot. Shorten or extend phases according to context, but preserve the learning logic: diagnose before scaling, define decision rights, measure adoption outcomes, and stop rituals that do not improve decisions.</w:t>
            </w:r>
          </w:p>
        </w:tc>
      </w:tr>
    </w:tbl>
    <w:p/>
    <w:p>
      <w:pPr>
        <w:pStyle w:val="Heading1"/>
      </w:pPr>
      <w:r>
        <w:t>Before Day 1 — Decide Whether to Start</w:t>
      </w:r>
    </w:p>
    <w:p>
      <w:r>
        <w:rPr>
          <w:b/>
        </w:rPr>
        <w:t xml:space="preserve">Objective: </w:t>
      </w:r>
      <w:r>
        <w:t>Make the management problem, scope, sponsorship, and success criteria explicit.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Name the management problem OKRs are expected to improve.</w:t>
      </w:r>
    </w:p>
    <w:p>
      <w:pPr>
        <w:pStyle w:val="ListBullet"/>
      </w:pPr>
      <w:r>
        <w:t>Select a bounded pilot with relevant uncertainty and manageable dependencies.</w:t>
      </w:r>
    </w:p>
    <w:p>
      <w:pPr>
        <w:pStyle w:val="ListBullet"/>
      </w:pPr>
      <w:r>
        <w:t>Define the sponsor and accountable pilot owner.</w:t>
      </w:r>
    </w:p>
    <w:p>
      <w:pPr>
        <w:pStyle w:val="ListBullet"/>
      </w:pPr>
      <w:r>
        <w:t>Set adoption outcomes and guardrails.</w:t>
      </w:r>
    </w:p>
    <w:p>
      <w:pPr>
        <w:pStyle w:val="ListBullet"/>
      </w:pPr>
      <w:r>
        <w:t>State what the pilot will not attempt to solve.</w:t>
      </w:r>
    </w:p>
    <w:p>
      <w:pPr>
        <w:pStyle w:val="Heading2"/>
      </w:pPr>
      <w:r>
        <w:t>Verifiable outputs</w:t>
      </w:r>
    </w:p>
    <w:p>
      <w:r>
        <w:t>☐ Pilot charter</w:t>
      </w:r>
    </w:p>
    <w:p>
      <w:r>
        <w:t>☐ Scope and exclusions</w:t>
      </w:r>
    </w:p>
    <w:p>
      <w:r>
        <w:t>☐ Success criteria</w:t>
      </w:r>
    </w:p>
    <w:p>
      <w:r>
        <w:t>☐ Sponsor commitment</w:t>
      </w:r>
    </w:p>
    <w:p>
      <w:pPr>
        <w:pStyle w:val="Heading1"/>
      </w:pPr>
      <w:r>
        <w:t>Days 1–15 — Diagnose Readiness and Contradictions</w:t>
      </w:r>
    </w:p>
    <w:p>
      <w:r>
        <w:rPr>
          <w:b/>
        </w:rPr>
        <w:t xml:space="preserve">Objective: </w:t>
      </w:r>
      <w:r>
        <w:t>Understand the real system before introducing the framework.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Assess strategic clarity, capacity, authority, data, governance, incentives, and psychological safety.</w:t>
      </w:r>
    </w:p>
    <w:p>
      <w:pPr>
        <w:pStyle w:val="ListBullet"/>
      </w:pPr>
      <w:r>
        <w:t>Map current goals, projects, products, mandatory work, and hidden priorities.</w:t>
      </w:r>
    </w:p>
    <w:p>
      <w:pPr>
        <w:pStyle w:val="ListBullet"/>
      </w:pPr>
      <w:r>
        <w:t>Identify where leaders ask for autonomy but retain approvals.</w:t>
      </w:r>
    </w:p>
    <w:p>
      <w:pPr>
        <w:pStyle w:val="ListBullet"/>
      </w:pPr>
      <w:r>
        <w:t>Document conflicting incentives and metric definitions.</w:t>
      </w:r>
    </w:p>
    <w:p>
      <w:pPr>
        <w:pStyle w:val="ListBullet"/>
      </w:pPr>
      <w:r>
        <w:t>Decide what must be fixed before formulation.</w:t>
      </w:r>
    </w:p>
    <w:p>
      <w:pPr>
        <w:pStyle w:val="Heading2"/>
      </w:pPr>
      <w:r>
        <w:t>Verifiable outputs</w:t>
      </w:r>
    </w:p>
    <w:p>
      <w:r>
        <w:t>☐ Readiness assessment</w:t>
      </w:r>
    </w:p>
    <w:p>
      <w:r>
        <w:t>☐ Portfolio map</w:t>
      </w:r>
    </w:p>
    <w:p>
      <w:r>
        <w:t>☐ Contradiction map</w:t>
      </w:r>
    </w:p>
    <w:p>
      <w:r>
        <w:t>☐ Preconditions and risks</w:t>
      </w:r>
    </w:p>
    <w:p>
      <w:pPr>
        <w:pStyle w:val="Heading1"/>
      </w:pPr>
      <w:r>
        <w:t>Days 1–15 — Prepare Leadership Behavior</w:t>
      </w:r>
    </w:p>
    <w:p>
      <w:r>
        <w:rPr>
          <w:b/>
        </w:rPr>
        <w:t xml:space="preserve">Objective: </w:t>
      </w:r>
      <w:r>
        <w:t>Align leadership behavior with the management system the pilot requires.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Practice explicit trade-offs and removal of priorities.</w:t>
      </w:r>
    </w:p>
    <w:p>
      <w:pPr>
        <w:pStyle w:val="ListBullet"/>
      </w:pPr>
      <w:r>
        <w:t>Agree how leaders will respond to risk, missed targets, and bad news.</w:t>
      </w:r>
    </w:p>
    <w:p>
      <w:pPr>
        <w:pStyle w:val="ListBullet"/>
      </w:pPr>
      <w:r>
        <w:t>Define decisions delegated to teams.</w:t>
      </w:r>
    </w:p>
    <w:p>
      <w:pPr>
        <w:pStyle w:val="ListBullet"/>
      </w:pPr>
      <w:r>
        <w:t>Separate OKRs from automatic individual performance ratings.</w:t>
      </w:r>
    </w:p>
    <w:p>
      <w:pPr>
        <w:pStyle w:val="ListBullet"/>
      </w:pPr>
      <w:r>
        <w:t>Commit to protecting capacity.</w:t>
      </w:r>
    </w:p>
    <w:p>
      <w:pPr>
        <w:pStyle w:val="Heading2"/>
      </w:pPr>
      <w:r>
        <w:t>Verifiable outputs</w:t>
      </w:r>
    </w:p>
    <w:p>
      <w:r>
        <w:t>☐ Leadership commitments</w:t>
      </w:r>
    </w:p>
    <w:p>
      <w:r>
        <w:t>☐ Delegation boundaries</w:t>
      </w:r>
    </w:p>
    <w:p>
      <w:r>
        <w:t>☐ Response-to-risk protocol</w:t>
      </w:r>
    </w:p>
    <w:p>
      <w:r>
        <w:t>☐ Protected capacity</w:t>
      </w:r>
    </w:p>
    <w:p>
      <w:pPr>
        <w:pStyle w:val="Heading1"/>
      </w:pPr>
      <w:r>
        <w:t>Days 16–30 — Formulate the Pilot OKRs</w:t>
      </w:r>
    </w:p>
    <w:p>
      <w:r>
        <w:rPr>
          <w:b/>
        </w:rPr>
        <w:t xml:space="preserve">Objective: </w:t>
      </w:r>
      <w:r>
        <w:t>Create a small set of coherent OKRs connected to a real strategic challenge.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Use the formulation canvas to define the challenge and strategic choice.</w:t>
      </w:r>
    </w:p>
    <w:p>
      <w:pPr>
        <w:pStyle w:val="ListBullet"/>
      </w:pPr>
      <w:r>
        <w:t>Write one to three Objectives for the pilot.</w:t>
      </w:r>
    </w:p>
    <w:p>
      <w:pPr>
        <w:pStyle w:val="ListBullet"/>
      </w:pPr>
      <w:r>
        <w:t>Develop causal hypotheses before selecting metrics.</w:t>
      </w:r>
    </w:p>
    <w:p>
      <w:pPr>
        <w:pStyle w:val="ListBullet"/>
      </w:pPr>
      <w:r>
        <w:t>Convert initiatives into outcome hypotheses.</w:t>
      </w:r>
    </w:p>
    <w:p>
      <w:pPr>
        <w:pStyle w:val="ListBullet"/>
      </w:pPr>
      <w:r>
        <w:t>Run a red-team review.</w:t>
      </w:r>
    </w:p>
    <w:p>
      <w:pPr>
        <w:pStyle w:val="Heading2"/>
      </w:pPr>
      <w:r>
        <w:t>Verifiable outputs</w:t>
      </w:r>
    </w:p>
    <w:p>
      <w:r>
        <w:t>☐ 1–3 pilot OKRs</w:t>
      </w:r>
    </w:p>
    <w:p>
      <w:r>
        <w:t>☐ Causal chains</w:t>
      </w:r>
    </w:p>
    <w:p>
      <w:r>
        <w:t>☐ Assumptions register</w:t>
      </w:r>
    </w:p>
    <w:p>
      <w:r>
        <w:t>☐ Red-team findings</w:t>
      </w:r>
    </w:p>
    <w:p>
      <w:pPr>
        <w:pStyle w:val="Heading1"/>
      </w:pPr>
      <w:r>
        <w:t>Days 16–30 — Build Measurement Contracts</w:t>
      </w:r>
    </w:p>
    <w:p>
      <w:r>
        <w:rPr>
          <w:b/>
        </w:rPr>
        <w:t xml:space="preserve">Objective: </w:t>
      </w:r>
      <w:r>
        <w:t>Make KRs verifiable and actionable.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Define formulas, populations, exclusions, baselines, targets, owners, and update frequency.</w:t>
      </w:r>
    </w:p>
    <w:p>
      <w:pPr>
        <w:pStyle w:val="ListBullet"/>
      </w:pPr>
      <w:r>
        <w:t>Identify data quality issues and delays.</w:t>
      </w:r>
    </w:p>
    <w:p>
      <w:pPr>
        <w:pStyle w:val="ListBullet"/>
      </w:pPr>
      <w:r>
        <w:t>Add leading, lagging, and guardrail indicators.</w:t>
      </w:r>
    </w:p>
    <w:p>
      <w:pPr>
        <w:pStyle w:val="ListBullet"/>
      </w:pPr>
      <w:r>
        <w:t>Define thresholds for action.</w:t>
      </w:r>
    </w:p>
    <w:p>
      <w:pPr>
        <w:pStyle w:val="ListBullet"/>
      </w:pPr>
      <w:r>
        <w:t>Remove metrics that cannot support a decision.</w:t>
      </w:r>
    </w:p>
    <w:p>
      <w:pPr>
        <w:pStyle w:val="Heading2"/>
      </w:pPr>
      <w:r>
        <w:t>Verifiable outputs</w:t>
      </w:r>
    </w:p>
    <w:p>
      <w:r>
        <w:t>☐ Measurement contracts</w:t>
      </w:r>
    </w:p>
    <w:p>
      <w:r>
        <w:t>☐ Baseline report</w:t>
      </w:r>
    </w:p>
    <w:p>
      <w:r>
        <w:t>☐ Data-quality risks</w:t>
      </w:r>
    </w:p>
    <w:p>
      <w:r>
        <w:t>☐ Action thresholds</w:t>
      </w:r>
    </w:p>
    <w:p>
      <w:pPr>
        <w:pStyle w:val="Heading1"/>
      </w:pPr>
      <w:r>
        <w:t>Days 16–30 — Establish Minimum Governance</w:t>
      </w:r>
    </w:p>
    <w:p>
      <w:r>
        <w:rPr>
          <w:b/>
        </w:rPr>
        <w:t xml:space="preserve">Objective: </w:t>
      </w:r>
      <w:r>
        <w:t>Define who decides, how dependencies are resolved, and how changes are controlled.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Create the governance charter.</w:t>
      </w:r>
    </w:p>
    <w:p>
      <w:pPr>
        <w:pStyle w:val="ListBullet"/>
      </w:pPr>
      <w:r>
        <w:t>Assign Objective, KR, and data owners.</w:t>
      </w:r>
    </w:p>
    <w:p>
      <w:pPr>
        <w:pStyle w:val="ListBullet"/>
      </w:pPr>
      <w:r>
        <w:t>Define strategic, tactical, and operational forums.</w:t>
      </w:r>
    </w:p>
    <w:p>
      <w:pPr>
        <w:pStyle w:val="ListBullet"/>
      </w:pPr>
      <w:r>
        <w:t>Set escalation criteria.</w:t>
      </w:r>
    </w:p>
    <w:p>
      <w:pPr>
        <w:pStyle w:val="ListBullet"/>
      </w:pPr>
      <w:r>
        <w:t>Define rules for changing KRs, targets, baselines, or scope.</w:t>
      </w:r>
    </w:p>
    <w:p>
      <w:pPr>
        <w:pStyle w:val="Heading2"/>
      </w:pPr>
      <w:r>
        <w:t>Verifiable outputs</w:t>
      </w:r>
    </w:p>
    <w:p>
      <w:r>
        <w:t>☐ Governance charter</w:t>
      </w:r>
    </w:p>
    <w:p>
      <w:r>
        <w:t>☐ Decision rights matrix</w:t>
      </w:r>
    </w:p>
    <w:p>
      <w:r>
        <w:t>☐ Forum calendar</w:t>
      </w:r>
    </w:p>
    <w:p>
      <w:r>
        <w:t>☐ Change rules</w:t>
      </w:r>
    </w:p>
    <w:p>
      <w:pPr>
        <w:pStyle w:val="Heading1"/>
      </w:pPr>
      <w:r>
        <w:t>Days 31–60 — Run Evidence-Based Check-ins</w:t>
      </w:r>
    </w:p>
    <w:p>
      <w:r>
        <w:rPr>
          <w:b/>
        </w:rPr>
        <w:t xml:space="preserve">Objective: </w:t>
      </w:r>
      <w:r>
        <w:t>Use the cycle to make decisions, not merely update percentages.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Update verified KR values and confidence.</w:t>
      </w:r>
    </w:p>
    <w:p>
      <w:pPr>
        <w:pStyle w:val="ListBullet"/>
      </w:pPr>
      <w:r>
        <w:t>Separate facts, interpretations, and decisions.</w:t>
      </w:r>
    </w:p>
    <w:p>
      <w:pPr>
        <w:pStyle w:val="ListBullet"/>
      </w:pPr>
      <w:r>
        <w:t>Log learning, risks, and dependencies.</w:t>
      </w:r>
    </w:p>
    <w:p>
      <w:pPr>
        <w:pStyle w:val="ListBullet"/>
      </w:pPr>
      <w:r>
        <w:t>Decide whether to continue, adapt, pause, stop, escalate, or invest.</w:t>
      </w:r>
    </w:p>
    <w:p>
      <w:pPr>
        <w:pStyle w:val="ListBullet"/>
      </w:pPr>
      <w:r>
        <w:t>Remove fields and rituals that do not influence decisions.</w:t>
      </w:r>
    </w:p>
    <w:p>
      <w:pPr>
        <w:pStyle w:val="Heading2"/>
      </w:pPr>
      <w:r>
        <w:t>Verifiable outputs</w:t>
      </w:r>
    </w:p>
    <w:p>
      <w:r>
        <w:t>☐ Check-in records</w:t>
      </w:r>
    </w:p>
    <w:p>
      <w:r>
        <w:t>☐ Decision log</w:t>
      </w:r>
    </w:p>
    <w:p>
      <w:r>
        <w:t>☐ Dependency actions</w:t>
      </w:r>
    </w:p>
    <w:p>
      <w:r>
        <w:t>☐ Learning register</w:t>
      </w:r>
    </w:p>
    <w:p>
      <w:pPr>
        <w:pStyle w:val="Heading1"/>
      </w:pPr>
      <w:r>
        <w:t>Days 31–60 — Review the Portfolio</w:t>
      </w:r>
    </w:p>
    <w:p>
      <w:r>
        <w:rPr>
          <w:b/>
        </w:rPr>
        <w:t xml:space="preserve">Objective: </w:t>
      </w:r>
      <w:r>
        <w:t>Treat initiatives as bets and reallocate capacity based on evidence.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Link every active initiative to an intended KR and mechanism.</w:t>
      </w:r>
    </w:p>
    <w:p>
      <w:pPr>
        <w:pStyle w:val="ListBullet"/>
      </w:pPr>
      <w:r>
        <w:t>Assess evidence strength, time to learn, cost, reversibility, and risk.</w:t>
      </w:r>
    </w:p>
    <w:p>
      <w:pPr>
        <w:pStyle w:val="ListBullet"/>
      </w:pPr>
      <w:r>
        <w:t>Pause or stop initiatives without a current evidence milestone.</w:t>
      </w:r>
    </w:p>
    <w:p>
      <w:pPr>
        <w:pStyle w:val="ListBullet"/>
      </w:pPr>
      <w:r>
        <w:t>Identify KRs with no funded hypothesis.</w:t>
      </w:r>
    </w:p>
    <w:p>
      <w:pPr>
        <w:pStyle w:val="ListBullet"/>
      </w:pPr>
      <w:r>
        <w:t>Protect mandatory work through explicit guardrails.</w:t>
      </w:r>
    </w:p>
    <w:p>
      <w:pPr>
        <w:pStyle w:val="Heading2"/>
      </w:pPr>
      <w:r>
        <w:t>Verifiable outputs</w:t>
      </w:r>
    </w:p>
    <w:p>
      <w:r>
        <w:t>☐ Portfolio decisions</w:t>
      </w:r>
    </w:p>
    <w:p>
      <w:r>
        <w:t>☐ Capacity reallocation</w:t>
      </w:r>
    </w:p>
    <w:p>
      <w:r>
        <w:t>☐ Stopped or adapted bets</w:t>
      </w:r>
    </w:p>
    <w:p>
      <w:r>
        <w:t>☐ Next evidence milestones</w:t>
      </w:r>
    </w:p>
    <w:p>
      <w:pPr>
        <w:pStyle w:val="Heading1"/>
      </w:pPr>
      <w:r>
        <w:t>Days 61–75 — Conduct the Mid-Cycle Review</w:t>
      </w:r>
    </w:p>
    <w:p>
      <w:r>
        <w:rPr>
          <w:b/>
        </w:rPr>
        <w:t xml:space="preserve">Objective: </w:t>
      </w:r>
      <w:r>
        <w:t>Reassess trajectory, context, and validity of the hypotheses.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Review changes in context and data quality.</w:t>
      </w:r>
    </w:p>
    <w:p>
      <w:pPr>
        <w:pStyle w:val="ListBullet"/>
      </w:pPr>
      <w:r>
        <w:t>Compare trajectory with horizon and metric lag.</w:t>
      </w:r>
    </w:p>
    <w:p>
      <w:pPr>
        <w:pStyle w:val="ListBullet"/>
      </w:pPr>
      <w:r>
        <w:t>Change targets only with explicit rules and traceability.</w:t>
      </w:r>
    </w:p>
    <w:p>
      <w:pPr>
        <w:pStyle w:val="ListBullet"/>
      </w:pPr>
      <w:r>
        <w:t>Redesign KRs when the metric no longer represents the phenomenon.</w:t>
      </w:r>
    </w:p>
    <w:p>
      <w:pPr>
        <w:pStyle w:val="ListBullet"/>
      </w:pPr>
      <w:r>
        <w:t>Simplify governance based on observed value.</w:t>
      </w:r>
    </w:p>
    <w:p>
      <w:pPr>
        <w:pStyle w:val="Heading2"/>
      </w:pPr>
      <w:r>
        <w:t>Verifiable outputs</w:t>
      </w:r>
    </w:p>
    <w:p>
      <w:r>
        <w:t>☐ Hypothesis review</w:t>
      </w:r>
    </w:p>
    <w:p>
      <w:r>
        <w:t>☐ Capacity decisions</w:t>
      </w:r>
    </w:p>
    <w:p>
      <w:r>
        <w:t>☐ Justified changes</w:t>
      </w:r>
    </w:p>
    <w:p>
      <w:r>
        <w:t>☐ Simplification list</w:t>
      </w:r>
    </w:p>
    <w:p>
      <w:pPr>
        <w:pStyle w:val="Heading1"/>
      </w:pPr>
      <w:r>
        <w:t>Days 76–90 — Close, Learn, and Decide on Scale</w:t>
      </w:r>
    </w:p>
    <w:p>
      <w:r>
        <w:rPr>
          <w:b/>
        </w:rPr>
        <w:t xml:space="preserve">Objective: </w:t>
      </w:r>
      <w:r>
        <w:t>Convert pilot experience into a management-system decision.</w:t>
      </w:r>
    </w:p>
    <w:p>
      <w:pPr>
        <w:pStyle w:val="Heading2"/>
      </w:pPr>
      <w:r>
        <w:t>Essential actions</w:t>
      </w:r>
    </w:p>
    <w:p>
      <w:pPr>
        <w:pStyle w:val="ListBullet"/>
      </w:pPr>
      <w:r>
        <w:t>Evaluate results, causal validity, execution, measurement, and context separately.</w:t>
      </w:r>
    </w:p>
    <w:p>
      <w:pPr>
        <w:pStyle w:val="ListBullet"/>
      </w:pPr>
      <w:r>
        <w:t>Identify ignored signals, late decisions, and adverse effects.</w:t>
      </w:r>
    </w:p>
    <w:p>
      <w:pPr>
        <w:pStyle w:val="ListBullet"/>
      </w:pPr>
      <w:r>
        <w:t>Measure adoption outcomes: fewer priorities, decisions made, dependency resolution, and initiatives stopped.</w:t>
      </w:r>
    </w:p>
    <w:p>
      <w:pPr>
        <w:pStyle w:val="ListBullet"/>
      </w:pPr>
      <w:r>
        <w:t>Decide whether to repeat, adapt, expand, or end the approach.</w:t>
      </w:r>
    </w:p>
    <w:p>
      <w:pPr>
        <w:pStyle w:val="ListBullet"/>
      </w:pPr>
      <w:r>
        <w:t>Define prerequisites for the next wave.</w:t>
      </w:r>
    </w:p>
    <w:p>
      <w:pPr>
        <w:pStyle w:val="Heading2"/>
      </w:pPr>
      <w:r>
        <w:t>Verifiable outputs</w:t>
      </w:r>
    </w:p>
    <w:p>
      <w:r>
        <w:t>☐ Learning report</w:t>
      </w:r>
    </w:p>
    <w:p>
      <w:r>
        <w:t>☐ Adoption outcome report</w:t>
      </w:r>
    </w:p>
    <w:p>
      <w:r>
        <w:t>☐ Scaling decision</w:t>
      </w:r>
    </w:p>
    <w:p>
      <w:r>
        <w:t>☐ Next-wave prerequisites</w:t>
      </w:r>
    </w:p>
    <w:p>
      <w:pPr>
        <w:pStyle w:val="Heading1"/>
      </w:pPr>
      <w:r>
        <w:t>Adoption Outcome Scorecard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Adoption outcome</w:t>
            </w:r>
          </w:p>
        </w:tc>
        <w:tc>
          <w:tcPr>
            <w:tcW w:type="dxa" w:w="2556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Possible evidence</w:t>
            </w:r>
          </w:p>
        </w:tc>
        <w:tc>
          <w:tcPr>
            <w:tcW w:type="dxa" w:w="2556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Guardrail</w:t>
            </w:r>
          </w:p>
        </w:tc>
        <w:tc>
          <w:tcPr>
            <w:tcW w:type="dxa" w:w="2556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Decision supported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Real focus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Number of simultaneous priorities and initiatives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Mandatory commitments left unprotected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Reduce scope or protect capacity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Evidence-based decisions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Share of check-ins with a recorded decision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Update bureaucracy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Keep or simplify cadence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Portfolio adaptation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Bets adapted, paused, or stopped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Instability without criteria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Review decision rights and evidence milestones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Cross-functional collaboration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Time to resolve material dependencies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Excessive escalation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Delegate or create explicit agreements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Measurement quality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KRs with contracts, baselines, and data owners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Collection cost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Invest, replace, or remove the metric</w:t>
            </w:r>
          </w:p>
        </w:tc>
      </w:tr>
      <w:tr>
        <w:tc>
          <w:tcPr>
            <w:tcW w:type="dxa" w:w="2556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7"/>
              </w:rPr>
              <w:t>Safety and learning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Risks disclosed before results turn red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Normalization of low performance</w:t>
            </w:r>
          </w:p>
        </w:tc>
        <w:tc>
          <w:tcPr>
            <w:tcW w:type="dxa" w:w="2556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7"/>
              </w:rPr>
              <w:t>Change leadership response</w:t>
            </w:r>
          </w:p>
        </w:tc>
      </w:tr>
    </w:tbl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Aptos" w:hAnsi="Aptos"/>
      <w:color w:val="1F1F1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