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CADERNO DO PARTICIPANTE</w:t>
      </w:r>
    </w:p>
    <w:p>
      <w:pPr>
        <w:pStyle w:val="Subtitle"/>
        <w:jc w:val="center"/>
      </w:pPr>
      <w:r>
        <w:t>Workshop de 90 minutos para identificar desperdícios</w:t>
      </w:r>
    </w:p>
    <w:p>
      <w:pPr>
        <w:jc w:val="center"/>
      </w:pPr>
      <w:r>
        <w:rPr>
          <w:b/>
          <w:color w:val="17324D"/>
        </w:rPr>
        <w:br/>
        <w:t>Cristiano Moraes • Geneilton Prata</w:t>
      </w:r>
    </w:p>
    <w:p>
      <w:pPr>
        <w:jc w:val="center"/>
      </w:pPr>
      <w:r>
        <w:rPr>
          <w:color w:val="5B6573"/>
        </w:rPr>
        <w:t>Material complementar da 2ª edição • 2026</w:t>
      </w:r>
    </w:p>
    <w:p>
      <w:r>
        <w:br w:type="page"/>
      </w:r>
    </w:p>
    <w:p>
      <w:pPr>
        <w:pStyle w:val="Heading1"/>
      </w:pPr>
      <w:r>
        <w:t>Fronteira da sessão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Fluxo ou serviço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Cliente/beneficiário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Ponto inicial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Ponto final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Item real utilizado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da sessão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Participantes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1. Reconstrução do fluxo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442"/>
        <w:gridCol w:w="1442"/>
        <w:gridCol w:w="1442"/>
        <w:gridCol w:w="1442"/>
        <w:gridCol w:w="1442"/>
        <w:gridCol w:w="1442"/>
        <w:gridCol w:w="1442"/>
      </w:tblGrid>
      <w:tr>
        <w:trPr>
          <w:tblHeader w:val="true"/>
        </w:trPr>
        <w:tc>
          <w:tcPr>
            <w:tcW w:type="dxa" w:w="170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Etapa</w:t>
            </w:r>
          </w:p>
        </w:tc>
        <w:tc>
          <w:tcPr>
            <w:tcW w:type="dxa" w:w="1417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Responsável</w:t>
            </w:r>
          </w:p>
        </w:tc>
        <w:tc>
          <w:tcPr>
            <w:tcW w:type="dxa" w:w="130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Trabalho ativo</w:t>
            </w:r>
          </w:p>
        </w:tc>
        <w:tc>
          <w:tcPr>
            <w:tcW w:type="dxa" w:w="113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Espera</w:t>
            </w:r>
          </w:p>
        </w:tc>
        <w:tc>
          <w:tcPr>
            <w:tcW w:type="dxa" w:w="170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Decisão/aprovação</w:t>
            </w:r>
          </w:p>
        </w:tc>
        <w:tc>
          <w:tcPr>
            <w:tcW w:type="dxa" w:w="1247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Devolução</w:t>
            </w:r>
          </w:p>
        </w:tc>
        <w:tc>
          <w:tcPr>
            <w:tcW w:type="dxa" w:w="226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Evidência</w:t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</w:tbl>
    <w:p>
      <w:r>
        <w:br w:type="page"/>
      </w:r>
    </w:p>
    <w:p>
      <w:pPr>
        <w:pStyle w:val="Heading1"/>
      </w:pPr>
      <w:r>
        <w:t>2. Classificação dos desperdícios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018"/>
        <w:gridCol w:w="2018"/>
        <w:gridCol w:w="2018"/>
        <w:gridCol w:w="2018"/>
        <w:gridCol w:w="2018"/>
      </w:tblGrid>
      <w:tr>
        <w:trPr>
          <w:tblHeader w:val="true"/>
        </w:trPr>
        <w:tc>
          <w:tcPr>
            <w:tcW w:type="dxa" w:w="243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Desperdício</w:t>
            </w:r>
          </w:p>
        </w:tc>
        <w:tc>
          <w:tcPr>
            <w:tcW w:type="dxa" w:w="113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Presente</w:t>
            </w:r>
          </w:p>
        </w:tc>
        <w:tc>
          <w:tcPr>
            <w:tcW w:type="dxa" w:w="113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Possível</w:t>
            </w:r>
          </w:p>
        </w:tc>
        <w:tc>
          <w:tcPr>
            <w:tcW w:type="dxa" w:w="1417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Não observado</w:t>
            </w:r>
          </w:p>
        </w:tc>
        <w:tc>
          <w:tcPr>
            <w:tcW w:type="dxa" w:w="45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Onde aparece</w:t>
            </w:r>
          </w:p>
        </w:tc>
      </w:tr>
      <w:tr>
        <w:tc>
          <w:tcPr>
            <w:tcW w:type="dxa" w:w="243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Defeitos</w:t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45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243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Superprodução</w:t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45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243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Espera</w:t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45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243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Talento não utilizado</w:t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45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243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Transporte e handoffs</w:t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45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243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Estoque</w:t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45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243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Movimento</w:t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45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243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Processamento extra</w:t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  <w:t>☐</w:t>
            </w:r>
          </w:p>
        </w:tc>
        <w:tc>
          <w:tcPr>
            <w:tcW w:type="dxa" w:w="45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p>
      <w:r>
        <w:br w:type="page"/>
      </w:r>
    </w:p>
    <w:p>
      <w:pPr>
        <w:pStyle w:val="Heading1"/>
      </w:pPr>
      <w:r>
        <w:t>3. Evidências e impacto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682"/>
        <w:gridCol w:w="1682"/>
        <w:gridCol w:w="1682"/>
        <w:gridCol w:w="1682"/>
        <w:gridCol w:w="1682"/>
        <w:gridCol w:w="1682"/>
      </w:tblGrid>
      <w:tr>
        <w:trPr>
          <w:tblHeader w:val="true"/>
        </w:trPr>
        <w:tc>
          <w:tcPr>
            <w:tcW w:type="dxa" w:w="198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Ponto do fluxo</w:t>
            </w:r>
          </w:p>
        </w:tc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Evidência</w:t>
            </w:r>
          </w:p>
        </w:tc>
        <w:tc>
          <w:tcPr>
            <w:tcW w:type="dxa" w:w="1417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Frequência</w:t>
            </w:r>
          </w:p>
        </w:tc>
        <w:tc>
          <w:tcPr>
            <w:tcW w:type="dxa" w:w="1417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Impacto</w:t>
            </w:r>
          </w:p>
        </w:tc>
        <w:tc>
          <w:tcPr>
            <w:tcW w:type="dxa" w:w="130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Risco</w:t>
            </w:r>
          </w:p>
        </w:tc>
        <w:tc>
          <w:tcPr>
            <w:tcW w:type="dxa" w:w="226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Informação faltante</w:t>
            </w:r>
          </w:p>
        </w:tc>
      </w:tr>
      <w:tr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p>
      <w:r>
        <w:br w:type="page"/>
      </w:r>
    </w:p>
    <w:p>
      <w:pPr>
        <w:pStyle w:val="Heading1"/>
      </w:pPr>
      <w:r>
        <w:t>4. Priorização</w:t>
      </w:r>
    </w:p>
    <w:p>
      <w:r>
        <w:drawing>
          <wp:inline xmlns:a="http://schemas.openxmlformats.org/drawingml/2006/main" xmlns:pic="http://schemas.openxmlformats.org/drawingml/2006/picture">
            <wp:extent cx="4680000" cy="4160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triz_Impacto_Governabilidad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4160000"/>
                    </a:xfrm>
                    <a:prstGeom prst="rect"/>
                  </pic:spPr>
                </pic:pic>
              </a:graphicData>
            </a:graphic>
          </wp:inline>
        </w:drawing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018"/>
        <w:gridCol w:w="2018"/>
        <w:gridCol w:w="2018"/>
        <w:gridCol w:w="2018"/>
        <w:gridCol w:w="2018"/>
      </w:tblGrid>
      <w:tr>
        <w:trPr>
          <w:tblHeader w:val="true"/>
        </w:trPr>
        <w:tc>
          <w:tcPr>
            <w:tcW w:type="dxa" w:w="3402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Mecanismo</w:t>
            </w:r>
          </w:p>
        </w:tc>
        <w:tc>
          <w:tcPr>
            <w:tcW w:type="dxa" w:w="170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Impacto</w:t>
            </w:r>
          </w:p>
        </w:tc>
        <w:tc>
          <w:tcPr>
            <w:tcW w:type="dxa" w:w="198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Governabilidade</w:t>
            </w:r>
          </w:p>
        </w:tc>
        <w:tc>
          <w:tcPr>
            <w:tcW w:type="dxa" w:w="170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Risco</w:t>
            </w:r>
          </w:p>
        </w:tc>
        <w:tc>
          <w:tcPr>
            <w:tcW w:type="dxa" w:w="226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Decisão</w:t>
            </w:r>
          </w:p>
        </w:tc>
      </w:tr>
      <w:tr>
        <w:tc>
          <w:tcPr>
            <w:tcW w:type="dxa" w:w="340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340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340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340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340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340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p>
      <w:r>
        <w:br w:type="page"/>
      </w:r>
    </w:p>
    <w:p>
      <w:pPr>
        <w:pStyle w:val="Heading1"/>
      </w:pPr>
      <w:r>
        <w:t>5. Experimento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Problema e baseline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Hipótese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Contramedida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Escopo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Capacidade reservada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Indicador principal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Métrica de proteção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Data de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Critério para manter, adaptar, ampliar ou abandonar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</w:tbl>
    <w:p>
      <w:r>
        <w:br w:type="page"/>
      </w:r>
    </w:p>
    <w:p>
      <w:pPr>
        <w:pStyle w:val="Heading1"/>
      </w:pPr>
      <w:r>
        <w:t>6. Encerramento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Decisão tomada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Ações retiradas por falta de capacidade ou autoridade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Próxima reunião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pelo registro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Dúvidas abertas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1906" w:h="16838"/>
      <w:pgMar w:top="907" w:right="907" w:bottom="907" w:left="907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5B6573"/>
        <w:sz w:val="16"/>
      </w:rPr>
      <w:t>Evitando Desperdícios em Projetos — material complementar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2" w:lineRule="auto"/>
    </w:pPr>
    <w:rPr>
      <w:rFonts w:ascii="Aptos" w:hAnsi="Aptos"/>
      <w:color w:val="17324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F4E5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7324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" w:hAnsi="Aptos"/>
      <w:b/>
      <w:bCs/>
      <w:color w:val="1F4E5F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200"/>
      <w:contextualSpacing/>
    </w:pPr>
    <w:rPr>
      <w:rFonts w:asciiTheme="majorHAnsi" w:eastAsiaTheme="majorEastAsia" w:hAnsiTheme="majorHAnsi" w:cstheme="majorBidi" w:ascii="Aptos Display" w:hAnsi="Aptos Display"/>
      <w:b/>
      <w:color w:val="1F4E5F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200" w:after="100"/>
    </w:pPr>
    <w:rPr>
      <w:rFonts w:asciiTheme="majorHAnsi" w:eastAsiaTheme="majorEastAsia" w:hAnsiTheme="majorHAnsi" w:cstheme="majorBidi" w:ascii="Aptos" w:hAnsi="Aptos"/>
      <w:b w:val="0"/>
      <w:i/>
      <w:iCs/>
      <w:color w:val="5B6573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rPr>
      <w:rFonts w:ascii="Aptos" w:hAnsi="Aptos"/>
      <w:i/>
      <w:color w:val="5B6573"/>
      <w:sz w:val="17"/>
    </w:rPr>
  </w:style>
  <w:style w:type="paragraph" w:customStyle="1" w:styleId="FormLabel">
    <w:name w:val="Form Label"/>
    <w:rPr>
      <w:rFonts w:ascii="Aptos" w:hAnsi="Aptos"/>
      <w:b/>
      <w:color w:val="17324D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