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MATRIZ PRÁTICA DOS OITO DESPERDÍCIOS</w:t>
      </w:r>
    </w:p>
    <w:p>
      <w:pPr>
        <w:pStyle w:val="Subtitle"/>
        <w:jc w:val="center"/>
      </w:pPr>
      <w:r>
        <w:t>Versão para impressão e facilitação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r>
        <w:drawing>
          <wp:inline xmlns:a="http://schemas.openxmlformats.org/drawingml/2006/main" xmlns:pic="http://schemas.openxmlformats.org/drawingml/2006/picture">
            <wp:extent cx="8820000" cy="55125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triz_Visual_8_Desperdicio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20000" cy="5512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1"/>
      </w:pPr>
      <w:r>
        <w:t>Matriz de referência rápida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05"/>
        <w:gridCol w:w="3005"/>
        <w:gridCol w:w="3005"/>
        <w:gridCol w:w="3005"/>
        <w:gridCol w:w="3005"/>
      </w:tblGrid>
      <w:tr>
        <w:trPr>
          <w:tblHeader w:val="true"/>
        </w:trPr>
        <w:tc>
          <w:tcPr>
            <w:tcW w:type="dxa" w:w="204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Desperdício</w:t>
            </w:r>
          </w:p>
        </w:tc>
        <w:tc>
          <w:tcPr>
            <w:tcW w:type="dxa" w:w="289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Definição</w:t>
            </w:r>
          </w:p>
        </w:tc>
        <w:tc>
          <w:tcPr>
            <w:tcW w:type="dxa" w:w="306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Sinais</w:t>
            </w:r>
          </w:p>
        </w:tc>
        <w:tc>
          <w:tcPr>
            <w:tcW w:type="dxa" w:w="294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Evidências</w:t>
            </w:r>
          </w:p>
        </w:tc>
        <w:tc>
          <w:tcPr>
            <w:tcW w:type="dxa" w:w="294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Primeira contramedida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Defeitos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Trabalho que precisa ser corrigido, refeito ou compensado.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Retrabalho, devoluções, incidentes e correções emergenciais.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Taxa de defeitos, escape, reincidência e custo da não qualidade.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Definir qualidade na origem e encurtar feedback.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Superprodução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Produzir antes, além ou sem evidência de necessidade.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Entregas sem uso, escopo excessivo e relatórios sem decisão.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Adoção, uso, itens removidos e time to value.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Reduzir lote e testar hipótese de valor.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Espera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Tempo em que o trabalho permanece parado no sistema.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Filas, bloqueios, aprovações e dependências tardias.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Lead time, tempo bloqueado e latência de decisão.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Tornar filas visíveis e delegar decisões.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Talento não utilizado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Conhecimento, autonomia e capacidade humana não acessados.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Microgestão, especialistas sobrecarregados e ideias ignoradas.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Fila por especialista, rotatividade e competências ociosas.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Mapear competências e delegar com guardrails.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Transporte e handoffs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Transferências que degradam contexto ou criam espera.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Repasses, esclarecimentos, devoluções e reconciliações.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Handoffs por item e devoluções por interface.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Reduzir interfaces e explicitar critérios de passagem.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Estoque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Trabalho iniciado ou comprometido que ainda não virou valor.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WIP alto, backlog envelhecido e ativos sem uso.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WIP, aging e iniciativas ativas por equipe.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Limitar WIP e terminar antes de iniciar.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Movimento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Esforço para alternar, procurar, acessar ou reconstruir contexto.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Multitarefa, interrupções, busca de informação e reuniões.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Projetos simultâneos, tempo de busca e horas de reunião.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Proteger foco e criar fonte de verdade.</w:t>
            </w:r>
          </w:p>
        </w:tc>
      </w:tr>
      <w:tr>
        <w:tc>
          <w:tcPr>
            <w:tcW w:type="dxa" w:w="204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Processamento extra</w:t>
            </w:r>
          </w:p>
        </w:tc>
        <w:tc>
          <w:tcPr>
            <w:tcW w:type="dxa" w:w="289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Controles e detalhes além do necessário para proteger valor e risco.</w:t>
            </w:r>
          </w:p>
        </w:tc>
        <w:tc>
          <w:tcPr>
            <w:tcW w:type="dxa" w:w="30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Aprovações redundantes, relatórios extensos e registros duplicados.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Aprovações sem alteração, campos sem uso e reconciliações.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Revisar finalidade e expirar controles temporários.</w:t>
            </w:r>
          </w:p>
        </w:tc>
      </w:tr>
    </w:tbl>
    <w:p>
      <w:r>
        <w:br w:type="page"/>
      </w:r>
    </w:p>
    <w:p>
      <w:pPr>
        <w:pStyle w:val="Heading1"/>
      </w:pPr>
      <w:r>
        <w:t>Priorização inicial</w:t>
      </w:r>
    </w:p>
    <w:p>
      <w:r>
        <w:drawing>
          <wp:inline xmlns:a="http://schemas.openxmlformats.org/drawingml/2006/main" xmlns:pic="http://schemas.openxmlformats.org/drawingml/2006/picture">
            <wp:extent cx="6300000" cy="5600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triz_Impacto_Governabilidad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0000" cy="56000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04"/>
        <w:gridCol w:w="2504"/>
        <w:gridCol w:w="2504"/>
        <w:gridCol w:w="2504"/>
        <w:gridCol w:w="2504"/>
        <w:gridCol w:w="2504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Desperdício observado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Impacto (1–5)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Frequência (1–5)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Risco (1–5)</w:t>
            </w:r>
          </w:p>
        </w:tc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Governabilidade (1–5)</w:t>
            </w:r>
          </w:p>
        </w:tc>
        <w:tc>
          <w:tcPr>
            <w:tcW w:type="dxa" w:w="3969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6"/>
              </w:rPr>
              <w:t>Primeira decisão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  <w:tc>
          <w:tcPr>
            <w:tcW w:type="dxa" w:w="3969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6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6838" w:h="11906" w:orient="landscape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