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CADERNO DE TEMPLATES EDITÁVEIS</w:t>
      </w:r>
    </w:p>
    <w:p>
      <w:pPr>
        <w:pStyle w:val="Subtitle"/>
        <w:jc w:val="center"/>
      </w:pPr>
      <w:r>
        <w:t>Formulários para diagnóstico, decisão e melhoria</w:t>
      </w:r>
    </w:p>
    <w:p>
      <w:pPr>
        <w:jc w:val="center"/>
      </w:pPr>
      <w:r>
        <w:rPr>
          <w:b/>
          <w:color w:val="17324D"/>
        </w:rPr>
        <w:br/>
        <w:t>Cristiano Moraes • Geneilton Prata</w:t>
      </w:r>
    </w:p>
    <w:p>
      <w:pPr>
        <w:jc w:val="center"/>
      </w:pPr>
      <w:r>
        <w:rPr>
          <w:color w:val="5B6573"/>
        </w:rPr>
        <w:t>Material complementar da 2ª edição • 2026</w:t>
      </w:r>
    </w:p>
    <w:p>
      <w:r>
        <w:br w:type="page"/>
      </w:r>
    </w:p>
    <w:p>
      <w:r>
        <w:t>Todos os modelos deste caderno podem ser copiados, adaptados e preenchidos diretamente no Word. Para acompanhamento recorrente e cálculos, utilize também a planilha integrada do kit.</w:t>
      </w:r>
    </w:p>
    <w:p>
      <w:r>
        <w:drawing>
          <wp:inline xmlns:a="http://schemas.openxmlformats.org/drawingml/2006/main" xmlns:pic="http://schemas.openxmlformats.org/drawingml/2006/picture">
            <wp:extent cx="5940000" cy="34650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iclo_de_Melhoria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000" cy="3465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pStyle w:val="Heading1"/>
      </w:pPr>
      <w:r>
        <w:t>1. Registro de desperdício</w:t>
      </w:r>
    </w:p>
    <w:p>
      <w:r>
        <w:t>Use um registro por problema observável. Descreva o sintoma sem julgamento pessoal e vincule-o a evidências.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46"/>
        <w:gridCol w:w="5046"/>
      </w:tblGrid>
      <w:tr>
        <w:trPr>
          <w:tblHeader w:val="true"/>
        </w:trPr>
        <w:tc>
          <w:tcPr>
            <w:tcW w:type="dxa" w:w="283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Campo</w:t>
            </w:r>
          </w:p>
        </w:tc>
        <w:tc>
          <w:tcPr>
            <w:tcW w:type="dxa" w:w="6803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Preenchimento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ID e data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Fluxo, fronteira e cliente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Sintoma observado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Desperdício principal e secundário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Evidências quantitativas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Evidências qualitativas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Impacto sobre valor, prazo, custo, qualidade, risco ou pessoas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Condição ou mecanismo a investigar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Responsável e próxima data de decisão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</w:tbl>
    <w:p/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018"/>
        <w:gridCol w:w="2018"/>
        <w:gridCol w:w="2018"/>
        <w:gridCol w:w="2018"/>
        <w:gridCol w:w="2018"/>
      </w:tblGrid>
      <w:tr>
        <w:trPr>
          <w:tblHeader w:val="true"/>
        </w:trPr>
        <w:tc>
          <w:tcPr>
            <w:tcW w:type="dxa" w:w="1814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7"/>
              </w:rPr>
              <w:t>Frequência (1–5)</w:t>
            </w:r>
          </w:p>
        </w:tc>
        <w:tc>
          <w:tcPr>
            <w:tcW w:type="dxa" w:w="1814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7"/>
              </w:rPr>
              <w:t>Severidade (1–5)</w:t>
            </w:r>
          </w:p>
        </w:tc>
        <w:tc>
          <w:tcPr>
            <w:tcW w:type="dxa" w:w="1984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7"/>
              </w:rPr>
              <w:t>Governabilidade (1–5)</w:t>
            </w:r>
          </w:p>
        </w:tc>
        <w:tc>
          <w:tcPr>
            <w:tcW w:type="dxa" w:w="1814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7"/>
              </w:rPr>
              <w:t>Risco (1–5)</w:t>
            </w:r>
          </w:p>
        </w:tc>
        <w:tc>
          <w:tcPr>
            <w:tcW w:type="dxa" w:w="1814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7"/>
              </w:rPr>
              <w:t>Prioridade</w:t>
            </w:r>
          </w:p>
        </w:tc>
      </w:tr>
      <w:tr>
        <w:tc>
          <w:tcPr>
            <w:tcW w:type="dxa" w:w="181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</w:r>
          </w:p>
        </w:tc>
        <w:tc>
          <w:tcPr>
            <w:tcW w:type="dxa" w:w="181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</w:r>
          </w:p>
        </w:tc>
        <w:tc>
          <w:tcPr>
            <w:tcW w:type="dxa" w:w="198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</w:r>
          </w:p>
        </w:tc>
        <w:tc>
          <w:tcPr>
            <w:tcW w:type="dxa" w:w="181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</w:r>
          </w:p>
        </w:tc>
        <w:tc>
          <w:tcPr>
            <w:tcW w:type="dxa" w:w="181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</w:r>
          </w:p>
        </w:tc>
      </w:tr>
    </w:tbl>
    <w:p>
      <w:r>
        <w:br w:type="page"/>
      </w:r>
    </w:p>
    <w:p>
      <w:pPr>
        <w:pStyle w:val="Heading1"/>
      </w:pPr>
      <w:r>
        <w:t>2. Experimento de melhoria</w:t>
      </w:r>
    </w:p>
    <w:p>
      <w:r>
        <w:t>Trate a contramedida como hipótese. Um experimento sem capacidade, indicador e data de revisão é apenas intenção.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46"/>
        <w:gridCol w:w="5046"/>
      </w:tblGrid>
      <w:tr>
        <w:trPr>
          <w:tblHeader w:val="true"/>
        </w:trPr>
        <w:tc>
          <w:tcPr>
            <w:tcW w:type="dxa" w:w="283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Campo</w:t>
            </w:r>
          </w:p>
        </w:tc>
        <w:tc>
          <w:tcPr>
            <w:tcW w:type="dxa" w:w="6803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Preenchimento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ID do experimento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Problema específico e baseline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Hipótese: se mudarmos X, esperamos Y porque Z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Contramedida e escopo do teste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Capacidade reservada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Autoridade necessária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Indicador principal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Métrica de proteção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Período de observação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Resultado observado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Decisão: manter, adaptar, ampliar ou abandonar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</w:tbl>
    <w:p>
      <w:r>
        <w:br w:type="page"/>
      </w:r>
    </w:p>
    <w:p>
      <w:pPr>
        <w:pStyle w:val="Heading1"/>
      </w:pPr>
      <w:r>
        <w:t>3. Registro de decisão</w:t>
      </w:r>
    </w:p>
    <w:p>
      <w:r>
        <w:t>Use para reduzir a latência e preservar a memória de decisões relevantes. Registre o suficiente para revisão, sem transformar o documento em justificativa defensiva.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46"/>
        <w:gridCol w:w="5046"/>
      </w:tblGrid>
      <w:tr>
        <w:trPr>
          <w:tblHeader w:val="true"/>
        </w:trPr>
        <w:tc>
          <w:tcPr>
            <w:tcW w:type="dxa" w:w="283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Campo</w:t>
            </w:r>
          </w:p>
        </w:tc>
        <w:tc>
          <w:tcPr>
            <w:tcW w:type="dxa" w:w="6803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Preenchimento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ID, data da solicitação e data necessária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Decisão solicitada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Contexto e resultado a proteger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Alternativas consideradas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Evidências e premissas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Riscos de agir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Riscos de esperar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Decisor e participantes consultados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Decisão tomada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Condição que exigirá revisão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</w:tbl>
    <w:p>
      <w:r>
        <w:br w:type="page"/>
      </w:r>
    </w:p>
    <w:p>
      <w:pPr>
        <w:pStyle w:val="Heading1"/>
      </w:pPr>
      <w:r>
        <w:t>4. Acompanhamento de benefícios</w:t>
      </w:r>
    </w:p>
    <w:p>
      <w:r>
        <w:t>A entrega é uma hipótese de contribuição. Acompanhe adoção, mudança de comportamento e efeitos no negócio.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46"/>
        <w:gridCol w:w="5046"/>
      </w:tblGrid>
      <w:tr>
        <w:trPr>
          <w:tblHeader w:val="true"/>
        </w:trPr>
        <w:tc>
          <w:tcPr>
            <w:tcW w:type="dxa" w:w="283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Campo</w:t>
            </w:r>
          </w:p>
        </w:tc>
        <w:tc>
          <w:tcPr>
            <w:tcW w:type="dxa" w:w="6803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Preenchimento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ID do benefício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Benefício e beneficiário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Projeto ou iniciativa relacionada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Baseline, meta e horizonte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Entregas e hipótese de contribuição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Indicador, fonte e frequência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Leading indicator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Lagging indicator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Responsável pelo benefício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Efeito observado e efeitos colaterais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Decisão: continuar, adaptar, ampliar ou encerrar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>
              <w:br/>
            </w:r>
          </w:p>
        </w:tc>
      </w:tr>
    </w:tbl>
    <w:p>
      <w:r>
        <w:br w:type="page"/>
      </w:r>
    </w:p>
    <w:p>
      <w:pPr>
        <w:pStyle w:val="Heading1"/>
      </w:pPr>
      <w:r>
        <w:t>5. Mapeamento do fluxo de valor</w:t>
      </w:r>
    </w:p>
    <w:p>
      <w:r>
        <w:t>Escolha um item real e reconstrua o caminho que ele percorreu. Inclua aprovações informais, planilhas paralelas, devoluções e esperas.</w:t>
      </w:r>
    </w:p>
    <w:p>
      <w:r>
        <w:drawing>
          <wp:inline xmlns:a="http://schemas.openxmlformats.org/drawingml/2006/main" xmlns:pic="http://schemas.openxmlformats.org/drawingml/2006/picture">
            <wp:extent cx="6120000" cy="2353846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uxo_de_Valor_Pedido_ao_Beneficio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2353846"/>
                    </a:xfrm>
                    <a:prstGeom prst="rect"/>
                  </pic:spPr>
                </pic:pic>
              </a:graphicData>
            </a:graphic>
          </wp:inline>
        </w:drawing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rPr>
          <w:tblHeader w:val="true"/>
        </w:trPr>
        <w:tc>
          <w:tcPr>
            <w:tcW w:type="dxa" w:w="170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5"/>
              </w:rPr>
              <w:t>Etapa</w:t>
            </w:r>
          </w:p>
        </w:tc>
        <w:tc>
          <w:tcPr>
            <w:tcW w:type="dxa" w:w="1304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5"/>
              </w:rPr>
              <w:t>Tipo</w:t>
            </w:r>
          </w:p>
        </w:tc>
        <w:tc>
          <w:tcPr>
            <w:tcW w:type="dxa" w:w="1417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5"/>
              </w:rPr>
              <w:t>Responsável</w:t>
            </w:r>
          </w:p>
        </w:tc>
        <w:tc>
          <w:tcPr>
            <w:tcW w:type="dxa" w:w="1020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5"/>
              </w:rPr>
              <w:t>Tempo ativo</w:t>
            </w:r>
          </w:p>
        </w:tc>
        <w:tc>
          <w:tcPr>
            <w:tcW w:type="dxa" w:w="1020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5"/>
              </w:rPr>
              <w:t>Espera</w:t>
            </w:r>
          </w:p>
        </w:tc>
        <w:tc>
          <w:tcPr>
            <w:tcW w:type="dxa" w:w="1020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5"/>
              </w:rPr>
              <w:t>Retrabalho</w:t>
            </w:r>
          </w:p>
        </w:tc>
        <w:tc>
          <w:tcPr>
            <w:tcW w:type="dxa" w:w="1020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5"/>
              </w:rPr>
              <w:t>Agrega valor?</w:t>
            </w:r>
          </w:p>
        </w:tc>
        <w:tc>
          <w:tcPr>
            <w:tcW w:type="dxa" w:w="907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5"/>
              </w:rPr>
              <w:t>Handoff</w:t>
            </w:r>
          </w:p>
        </w:tc>
        <w:tc>
          <w:tcPr>
            <w:tcW w:type="dxa" w:w="1928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5"/>
              </w:rPr>
              <w:t>Evidência</w:t>
            </w:r>
          </w:p>
        </w:tc>
      </w:tr>
      <w:tr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30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90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30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90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30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90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30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90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30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90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30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90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30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90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30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90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30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90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30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90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92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46"/>
        <w:gridCol w:w="5046"/>
      </w:tblGrid>
      <w:tr>
        <w:trPr>
          <w:tblHeader w:val="true"/>
        </w:trPr>
        <w:tc>
          <w:tcPr>
            <w:tcW w:type="dxa" w:w="283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Campo</w:t>
            </w:r>
          </w:p>
        </w:tc>
        <w:tc>
          <w:tcPr>
            <w:tcW w:type="dxa" w:w="6803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Preenchimento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Lead time total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Tempo ativo total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Eficiência de fluxo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Maior fila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Maior risco de perda de contexto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  <w:shd w:fill="EEF4F6"/>
          </w:tcPr>
          <w:p>
            <w:r>
              <w:rPr>
                <w:sz w:val="18"/>
              </w:rPr>
              <w:t>Primeiro experimento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  <w:r/>
          </w:p>
        </w:tc>
      </w:tr>
    </w:tbl>
    <w:p>
      <w:r>
        <w:br w:type="page"/>
      </w:r>
    </w:p>
    <w:p>
      <w:pPr>
        <w:pStyle w:val="Heading1"/>
      </w:pPr>
      <w:r>
        <w:t>6. A3 de resolução de problemas</w:t>
      </w:r>
    </w:p>
    <w:p>
      <w:r>
        <w:t>Use uma página lógica para conectar problema, análise, teste e aprendizagem. Evite preencher a solução favorita antes de compreender a condição atual.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46"/>
        <w:gridCol w:w="5046"/>
      </w:tblGrid>
      <w:tr>
        <w:trPr>
          <w:tblHeader w:val="true"/>
        </w:trPr>
        <w:tc>
          <w:tcPr>
            <w:tcW w:type="dxa" w:w="283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Bloco</w:t>
            </w:r>
          </w:p>
        </w:tc>
        <w:tc>
          <w:tcPr>
            <w:tcW w:type="dxa" w:w="6803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8"/>
              </w:rPr>
              <w:t>Conteúdo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  <w:t>Contexto e resultado afetado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  <w:t>Condição atual e evidências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  <w:br/>
              <w:br/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  <w:t>Problema específico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  <w:t>Objetivo e condição-alvo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  <w:t>Análise causal e mecanismos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  <w:br/>
              <w:br/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  <w:t>Contramedidas consideradas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  <w:t>Experimento escolhido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  <w:t>Plano, responsáveis e capacidade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  <w:br/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  <w:t>Indicadores e métricas de proteção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  <w:t>Aprendizado e decisão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8"/>
              </w:rPr>
              <w:br/>
            </w:r>
          </w:p>
        </w:tc>
      </w:tr>
    </w:tbl>
    <w:p>
      <w:r>
        <w:br w:type="page"/>
      </w:r>
    </w:p>
    <w:p>
      <w:pPr>
        <w:pStyle w:val="Heading1"/>
      </w:pPr>
      <w:r>
        <w:t>7. Plano de 90 dias</w:t>
      </w:r>
    </w:p>
    <w:p>
      <w:r>
        <w:t>Escolha no máximo dois mecanismos prioritários. Distribua trabalho em ciclos curtos e inclua decisões explícitas ao final de cada etapa.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682"/>
        <w:gridCol w:w="1682"/>
        <w:gridCol w:w="1682"/>
        <w:gridCol w:w="1682"/>
        <w:gridCol w:w="1682"/>
        <w:gridCol w:w="1682"/>
      </w:tblGrid>
      <w:tr>
        <w:trPr>
          <w:tblHeader w:val="true"/>
        </w:trPr>
        <w:tc>
          <w:tcPr>
            <w:tcW w:type="dxa" w:w="1304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5"/>
              </w:rPr>
              <w:t>Período</w:t>
            </w:r>
          </w:p>
        </w:tc>
        <w:tc>
          <w:tcPr>
            <w:tcW w:type="dxa" w:w="2948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5"/>
              </w:rPr>
              <w:t>Ação</w:t>
            </w:r>
          </w:p>
        </w:tc>
        <w:tc>
          <w:tcPr>
            <w:tcW w:type="dxa" w:w="1587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5"/>
              </w:rPr>
              <w:t>Responsável</w:t>
            </w:r>
          </w:p>
        </w:tc>
        <w:tc>
          <w:tcPr>
            <w:tcW w:type="dxa" w:w="1417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5"/>
              </w:rPr>
              <w:t>Capacidade</w:t>
            </w:r>
          </w:p>
        </w:tc>
        <w:tc>
          <w:tcPr>
            <w:tcW w:type="dxa" w:w="2268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5"/>
              </w:rPr>
              <w:t>Indicador/evidência</w:t>
            </w:r>
          </w:p>
        </w:tc>
        <w:tc>
          <w:tcPr>
            <w:tcW w:type="dxa" w:w="1247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5"/>
              </w:rPr>
              <w:t>Status</w:t>
            </w:r>
          </w:p>
        </w:tc>
      </w:tr>
      <w:tr>
        <w:tc>
          <w:tcPr>
            <w:tcW w:type="dxa" w:w="130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  <w:t>Semana 1</w:t>
            </w:r>
          </w:p>
        </w:tc>
        <w:tc>
          <w:tcPr>
            <w:tcW w:type="dxa" w:w="294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58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226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24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30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  <w:t>Semana 2</w:t>
            </w:r>
          </w:p>
        </w:tc>
        <w:tc>
          <w:tcPr>
            <w:tcW w:type="dxa" w:w="294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58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226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24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30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  <w:t>Semana 3</w:t>
            </w:r>
          </w:p>
        </w:tc>
        <w:tc>
          <w:tcPr>
            <w:tcW w:type="dxa" w:w="294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58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226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24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30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  <w:t>Semana 4</w:t>
            </w:r>
          </w:p>
        </w:tc>
        <w:tc>
          <w:tcPr>
            <w:tcW w:type="dxa" w:w="294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58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226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24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30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  <w:t>Semana 5</w:t>
            </w:r>
          </w:p>
        </w:tc>
        <w:tc>
          <w:tcPr>
            <w:tcW w:type="dxa" w:w="294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58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226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24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30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  <w:t>Semana 6</w:t>
            </w:r>
          </w:p>
        </w:tc>
        <w:tc>
          <w:tcPr>
            <w:tcW w:type="dxa" w:w="294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58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226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24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30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  <w:t>Semana 7</w:t>
            </w:r>
          </w:p>
        </w:tc>
        <w:tc>
          <w:tcPr>
            <w:tcW w:type="dxa" w:w="294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58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226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24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30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  <w:t>Semana 8</w:t>
            </w:r>
          </w:p>
        </w:tc>
        <w:tc>
          <w:tcPr>
            <w:tcW w:type="dxa" w:w="294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58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226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24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30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  <w:t>Semana 9</w:t>
            </w:r>
          </w:p>
        </w:tc>
        <w:tc>
          <w:tcPr>
            <w:tcW w:type="dxa" w:w="294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58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226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24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30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  <w:t>Semana 10</w:t>
            </w:r>
          </w:p>
        </w:tc>
        <w:tc>
          <w:tcPr>
            <w:tcW w:type="dxa" w:w="294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58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226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24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30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  <w:t>Semana 11</w:t>
            </w:r>
          </w:p>
        </w:tc>
        <w:tc>
          <w:tcPr>
            <w:tcW w:type="dxa" w:w="294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58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226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24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30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  <w:t>Semana 12</w:t>
            </w:r>
          </w:p>
        </w:tc>
        <w:tc>
          <w:tcPr>
            <w:tcW w:type="dxa" w:w="294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58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226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24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30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  <w:t>Semana 13</w:t>
            </w:r>
          </w:p>
        </w:tc>
        <w:tc>
          <w:tcPr>
            <w:tcW w:type="dxa" w:w="294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58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226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24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</w:tbl>
    <w:p>
      <w:r>
        <w:br w:type="page"/>
      </w:r>
    </w:p>
    <w:p>
      <w:pPr>
        <w:pStyle w:val="Heading1"/>
      </w:pPr>
      <w:r>
        <w:t>8. Revisão de portfólio</w:t>
      </w:r>
    </w:p>
    <w:p>
      <w:r>
        <w:t>A revisão deve produzir escolhas. Iniciativas sem capacidade ou sem hipótese atualizada não devem permanecer ativas por inércia.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261"/>
        <w:gridCol w:w="1261"/>
        <w:gridCol w:w="1261"/>
        <w:gridCol w:w="1261"/>
        <w:gridCol w:w="1261"/>
        <w:gridCol w:w="1261"/>
        <w:gridCol w:w="1261"/>
        <w:gridCol w:w="1261"/>
      </w:tblGrid>
      <w:tr>
        <w:trPr>
          <w:tblHeader w:val="true"/>
        </w:trPr>
        <w:tc>
          <w:tcPr>
            <w:tcW w:type="dxa" w:w="187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5"/>
              </w:rPr>
              <w:t>Iniciativa</w:t>
            </w:r>
          </w:p>
        </w:tc>
        <w:tc>
          <w:tcPr>
            <w:tcW w:type="dxa" w:w="1984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5"/>
              </w:rPr>
              <w:t>Resultado esperado</w:t>
            </w:r>
          </w:p>
        </w:tc>
        <w:tc>
          <w:tcPr>
            <w:tcW w:type="dxa" w:w="1814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5"/>
              </w:rPr>
              <w:t>Evidência recente</w:t>
            </w:r>
          </w:p>
        </w:tc>
        <w:tc>
          <w:tcPr>
            <w:tcW w:type="dxa" w:w="1134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5"/>
              </w:rPr>
              <w:t>Capacidade</w:t>
            </w:r>
          </w:p>
        </w:tc>
        <w:tc>
          <w:tcPr>
            <w:tcW w:type="dxa" w:w="1417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5"/>
              </w:rPr>
              <w:t>Dependências</w:t>
            </w:r>
          </w:p>
        </w:tc>
        <w:tc>
          <w:tcPr>
            <w:tcW w:type="dxa" w:w="1020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5"/>
              </w:rPr>
              <w:t>Risco</w:t>
            </w:r>
          </w:p>
        </w:tc>
        <w:tc>
          <w:tcPr>
            <w:tcW w:type="dxa" w:w="1247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5"/>
              </w:rPr>
              <w:t>Decisão</w:t>
            </w:r>
          </w:p>
        </w:tc>
        <w:tc>
          <w:tcPr>
            <w:tcW w:type="dxa" w:w="1247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5"/>
              </w:rPr>
              <w:t>Próxima revisão</w:t>
            </w:r>
          </w:p>
        </w:tc>
      </w:tr>
      <w:tr>
        <w:tc>
          <w:tcPr>
            <w:tcW w:type="dxa" w:w="187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98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81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24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24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87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98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81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24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24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87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98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81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24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24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87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98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81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24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24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87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98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81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24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24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87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98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81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24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24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87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98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81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24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24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87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98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81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24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24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87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98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81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24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24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87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98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81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24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24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87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98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81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24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24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87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98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81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41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24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24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</w:tbl>
    <w:p>
      <w:r>
        <w:br w:type="page"/>
      </w:r>
    </w:p>
    <w:p>
      <w:pPr>
        <w:pStyle w:val="Heading1"/>
      </w:pPr>
      <w:r>
        <w:t>9. Capacidade, WIP e competências críticas</w:t>
      </w:r>
    </w:p>
    <w:p>
      <w:r>
        <w:t>Use capacidade líquida, não apenas headcount. Inclua operação, incidentes, melhoria e conhecimento crítico.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rPr>
          <w:tblHeader w:val="true"/>
        </w:trPr>
        <w:tc>
          <w:tcPr>
            <w:tcW w:type="dxa" w:w="187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5"/>
              </w:rPr>
              <w:t>Pessoa/equipe</w:t>
            </w:r>
          </w:p>
        </w:tc>
        <w:tc>
          <w:tcPr>
            <w:tcW w:type="dxa" w:w="1020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5"/>
              </w:rPr>
              <w:t>Capacidade</w:t>
            </w:r>
          </w:p>
        </w:tc>
        <w:tc>
          <w:tcPr>
            <w:tcW w:type="dxa" w:w="850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5"/>
              </w:rPr>
              <w:t>BAU</w:t>
            </w:r>
          </w:p>
        </w:tc>
        <w:tc>
          <w:tcPr>
            <w:tcW w:type="dxa" w:w="1020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5"/>
              </w:rPr>
              <w:t>Incidentes</w:t>
            </w:r>
          </w:p>
        </w:tc>
        <w:tc>
          <w:tcPr>
            <w:tcW w:type="dxa" w:w="1020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5"/>
              </w:rPr>
              <w:t>Melhoria</w:t>
            </w:r>
          </w:p>
        </w:tc>
        <w:tc>
          <w:tcPr>
            <w:tcW w:type="dxa" w:w="1020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5"/>
              </w:rPr>
              <w:t>Projetos</w:t>
            </w:r>
          </w:p>
        </w:tc>
        <w:tc>
          <w:tcPr>
            <w:tcW w:type="dxa" w:w="850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5"/>
              </w:rPr>
              <w:t>Livre</w:t>
            </w:r>
          </w:p>
        </w:tc>
        <w:tc>
          <w:tcPr>
            <w:tcW w:type="dxa" w:w="794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5"/>
              </w:rPr>
              <w:t>WIP</w:t>
            </w:r>
          </w:p>
        </w:tc>
        <w:tc>
          <w:tcPr>
            <w:tcW w:type="dxa" w:w="2268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5"/>
              </w:rPr>
              <w:t>Gargalo/ação</w:t>
            </w:r>
          </w:p>
        </w:tc>
      </w:tr>
      <w:tr>
        <w:tc>
          <w:tcPr>
            <w:tcW w:type="dxa" w:w="187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85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85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79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226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87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85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85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79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226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87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85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85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79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226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87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85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85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79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226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87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85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85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79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226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87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85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85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79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226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87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85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85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79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226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87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85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85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79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226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87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85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85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79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226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87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85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02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850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79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2268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</w:tbl>
    <w:p>
      <w:r>
        <w:br w:type="page"/>
      </w:r>
    </w:p>
    <w:p>
      <w:pPr>
        <w:pStyle w:val="Heading1"/>
      </w:pPr>
      <w:r>
        <w:t>10. Auditoria de reuniões e controles</w:t>
      </w:r>
    </w:p>
    <w:p>
      <w:r>
        <w:t>Não elimine interação necessária. Questione reuniões, relatórios e controles cuja finalidade, decisão ou risco protegido não estejam claros.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rPr>
          <w:tblHeader w:val="true"/>
        </w:trPr>
        <w:tc>
          <w:tcPr>
            <w:tcW w:type="dxa" w:w="1814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5"/>
              </w:rPr>
              <w:t>Item</w:t>
            </w:r>
          </w:p>
        </w:tc>
        <w:tc>
          <w:tcPr>
            <w:tcW w:type="dxa" w:w="1984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5"/>
              </w:rPr>
              <w:t>Finalidade</w:t>
            </w:r>
          </w:p>
        </w:tc>
        <w:tc>
          <w:tcPr>
            <w:tcW w:type="dxa" w:w="1134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5"/>
              </w:rPr>
              <w:t>Tipo</w:t>
            </w:r>
          </w:p>
        </w:tc>
        <w:tc>
          <w:tcPr>
            <w:tcW w:type="dxa" w:w="907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5"/>
              </w:rPr>
              <w:t>Pessoas</w:t>
            </w:r>
          </w:p>
        </w:tc>
        <w:tc>
          <w:tcPr>
            <w:tcW w:type="dxa" w:w="1134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5"/>
              </w:rPr>
              <w:t>Tempo/mês</w:t>
            </w:r>
          </w:p>
        </w:tc>
        <w:tc>
          <w:tcPr>
            <w:tcW w:type="dxa" w:w="1134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5"/>
              </w:rPr>
              <w:t>Custo</w:t>
            </w:r>
          </w:p>
        </w:tc>
        <w:tc>
          <w:tcPr>
            <w:tcW w:type="dxa" w:w="170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5"/>
              </w:rPr>
              <w:t>Risco protegido</w:t>
            </w:r>
          </w:p>
        </w:tc>
        <w:tc>
          <w:tcPr>
            <w:tcW w:type="dxa" w:w="136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5"/>
              </w:rPr>
              <w:t>Decisão</w:t>
            </w:r>
          </w:p>
        </w:tc>
        <w:tc>
          <w:tcPr>
            <w:tcW w:type="dxa" w:w="136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5"/>
              </w:rPr>
              <w:t>Data de revisão</w:t>
            </w:r>
          </w:p>
        </w:tc>
      </w:tr>
      <w:tr>
        <w:tc>
          <w:tcPr>
            <w:tcW w:type="dxa" w:w="181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98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90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36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36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81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98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90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36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36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81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98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90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36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36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81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98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90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36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36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81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98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90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36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36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81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98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90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36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36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81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98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90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36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36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81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98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90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36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36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81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98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90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36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36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181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98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907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134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70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36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  <w:tc>
          <w:tcPr>
            <w:tcW w:type="dxa" w:w="136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5"/>
              </w:rPr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1906" w:h="16838"/>
      <w:pgMar w:top="907" w:right="907" w:bottom="907" w:left="907" w:header="397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color w:val="5B6573"/>
        <w:sz w:val="16"/>
      </w:rPr>
      <w:t>Evitando Desperdícios em Projetos — material complementar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252" w:lineRule="auto"/>
    </w:pPr>
    <w:rPr>
      <w:rFonts w:ascii="Aptos" w:hAnsi="Aptos"/>
      <w:color w:val="17324D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F4E5F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17324D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Aptos" w:hAnsi="Aptos"/>
      <w:b/>
      <w:bCs/>
      <w:color w:val="1F4E5F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00" w:line="240" w:lineRule="auto" w:before="200"/>
      <w:contextualSpacing/>
    </w:pPr>
    <w:rPr>
      <w:rFonts w:asciiTheme="majorHAnsi" w:eastAsiaTheme="majorEastAsia" w:hAnsiTheme="majorHAnsi" w:cstheme="majorBidi" w:ascii="Aptos Display" w:hAnsi="Aptos Display"/>
      <w:b/>
      <w:color w:val="1F4E5F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  <w:spacing w:before="200" w:after="100"/>
    </w:pPr>
    <w:rPr>
      <w:rFonts w:asciiTheme="majorHAnsi" w:eastAsiaTheme="majorEastAsia" w:hAnsiTheme="majorHAnsi" w:cstheme="majorBidi" w:ascii="Aptos" w:hAnsi="Aptos"/>
      <w:b w:val="0"/>
      <w:i/>
      <w:iCs/>
      <w:color w:val="5B6573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mallNote">
    <w:name w:val="Small Note"/>
    <w:rPr>
      <w:rFonts w:ascii="Aptos" w:hAnsi="Aptos"/>
      <w:i/>
      <w:color w:val="5B6573"/>
      <w:sz w:val="17"/>
    </w:rPr>
  </w:style>
  <w:style w:type="paragraph" w:customStyle="1" w:styleId="FormLabel">
    <w:name w:val="Form Label"/>
    <w:rPr>
      <w:rFonts w:ascii="Aptos" w:hAnsi="Aptos"/>
      <w:b/>
      <w:color w:val="17324D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Relationship Id="rId1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