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GUIA DO KIT PRÁTICO</w:t>
      </w:r>
    </w:p>
    <w:p>
      <w:pPr>
        <w:pStyle w:val="Subtitle"/>
        <w:jc w:val="center"/>
      </w:pPr>
      <w:r>
        <w:t>Instrumentos editáveis para aplicar os conceitos do livro</w:t>
      </w:r>
    </w:p>
    <w:p>
      <w:pPr>
        <w:jc w:val="center"/>
      </w:pPr>
      <w:r>
        <w:rPr>
          <w:b/>
          <w:color w:val="17324D"/>
        </w:rPr>
        <w:br/>
        <w:t>Cristiano Moraes • Geneilton Prata</w:t>
      </w:r>
    </w:p>
    <w:p>
      <w:pPr>
        <w:jc w:val="center"/>
      </w:pPr>
      <w:r>
        <w:rPr>
          <w:color w:val="5B6573"/>
        </w:rPr>
        <w:t>Material complementar da 2ª edição • 2026</w:t>
      </w:r>
    </w:p>
    <w:p>
      <w:r>
        <w:br w:type="page"/>
      </w:r>
    </w:p>
    <w:p>
      <w:pPr>
        <w:pStyle w:val="Heading1"/>
      </w:pPr>
      <w:r>
        <w:t>O que está neste pacote</w:t>
      </w:r>
    </w:p>
    <w:p>
      <w:r>
        <w:t>Este kit reúne os materiais citados nos apêndices e capítulos da segunda edição, além de instrumentos complementares para transformar diagnóstico em decisão e melhoria. Os arquivos foram organizados para uso em projetos, PMOs, VMOs, portfólios, aulas, consultorias e workshops.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364"/>
        <w:gridCol w:w="3364"/>
        <w:gridCol w:w="3364"/>
      </w:tblGrid>
      <w:tr>
        <w:trPr>
          <w:tblHeader w:val="true"/>
        </w:trPr>
        <w:tc>
          <w:tcPr>
            <w:tcW w:type="dxa" w:w="2551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Pasta</w:t>
            </w:r>
          </w:p>
        </w:tc>
        <w:tc>
          <w:tcPr>
            <w:tcW w:type="dxa" w:w="4252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Conteúdo</w:t>
            </w:r>
          </w:p>
        </w:tc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Uso recomendado</w:t>
            </w:r>
          </w:p>
        </w:tc>
      </w:tr>
      <w:tr>
        <w:tc>
          <w:tcPr>
            <w:tcW w:type="dxa" w:w="255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01_Planilhas</w:t>
            </w:r>
          </w:p>
        </w:tc>
        <w:tc>
          <w:tcPr>
            <w:tcW w:type="dxa" w:w="4252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Workbook com dashboard, registros, diagnóstico, VSM, custos, capacidade, decisões, benefícios e plano de 90 dias.</w:t>
            </w:r>
          </w:p>
        </w:tc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Trabalho contínuo e análise quantitativa.</w:t>
            </w:r>
          </w:p>
        </w:tc>
      </w:tr>
      <w:tr>
        <w:tc>
          <w:tcPr>
            <w:tcW w:type="dxa" w:w="255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02_Templates_Editaveis</w:t>
            </w:r>
          </w:p>
        </w:tc>
        <w:tc>
          <w:tcPr>
            <w:tcW w:type="dxa" w:w="4252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Caderno Word com formulários e canvases.</w:t>
            </w:r>
          </w:p>
        </w:tc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Entrevistas, reuniões, impressão e documentação.</w:t>
            </w:r>
          </w:p>
        </w:tc>
      </w:tr>
      <w:tr>
        <w:tc>
          <w:tcPr>
            <w:tcW w:type="dxa" w:w="255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03_Checklists</w:t>
            </w:r>
          </w:p>
        </w:tc>
        <w:tc>
          <w:tcPr>
            <w:tcW w:type="dxa" w:w="4252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Checklists de todos os temas e matriz dos oito desperdícios.</w:t>
            </w:r>
          </w:p>
        </w:tc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Autoavaliação e revisão de projeto.</w:t>
            </w:r>
          </w:p>
        </w:tc>
      </w:tr>
      <w:tr>
        <w:tc>
          <w:tcPr>
            <w:tcW w:type="dxa" w:w="255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04_Prompts_IA</w:t>
            </w:r>
          </w:p>
        </w:tc>
        <w:tc>
          <w:tcPr>
            <w:tcW w:type="dxa" w:w="4252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Prompts do livro e prompts bônus em DOCX, TXT e Markdown.</w:t>
            </w:r>
          </w:p>
        </w:tc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Análise assistida, sempre com validação humana.</w:t>
            </w:r>
          </w:p>
        </w:tc>
      </w:tr>
      <w:tr>
        <w:tc>
          <w:tcPr>
            <w:tcW w:type="dxa" w:w="255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05_Workshop</w:t>
            </w:r>
          </w:p>
        </w:tc>
        <w:tc>
          <w:tcPr>
            <w:tcW w:type="dxa" w:w="4252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Guia do facilitador e caderno do participante.</w:t>
            </w:r>
          </w:p>
        </w:tc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Sessão de 90 minutos.</w:t>
            </w:r>
          </w:p>
        </w:tc>
      </w:tr>
      <w:tr>
        <w:tc>
          <w:tcPr>
            <w:tcW w:type="dxa" w:w="255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06_Exemplos_Preenchidos</w:t>
            </w:r>
          </w:p>
        </w:tc>
        <w:tc>
          <w:tcPr>
            <w:tcW w:type="dxa" w:w="4252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Casos preenchidos para orientar o uso.</w:t>
            </w:r>
          </w:p>
        </w:tc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Treinamento e referência.</w:t>
            </w:r>
          </w:p>
        </w:tc>
      </w:tr>
      <w:tr>
        <w:tc>
          <w:tcPr>
            <w:tcW w:type="dxa" w:w="2551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07_Imagens_e_Diagramas</w:t>
            </w:r>
          </w:p>
        </w:tc>
        <w:tc>
          <w:tcPr>
            <w:tcW w:type="dxa" w:w="4252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Diagramas em alta resolução.</w:t>
            </w:r>
          </w:p>
        </w:tc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Aulas, workshops e materiais internos.</w:t>
            </w:r>
          </w:p>
        </w:tc>
      </w:tr>
    </w:tbl>
    <w:p>
      <w:pPr>
        <w:pStyle w:val="Heading1"/>
      </w:pPr>
      <w:r>
        <w:t>Sequência recomendada</w:t>
      </w:r>
    </w:p>
    <w:p>
      <w:pPr>
        <w:pStyle w:val="ListNumber"/>
      </w:pPr>
      <w:r>
        <w:t>Escolha uma fronteira concreta: um fluxo, serviço, projeto ou decisão recorrente.</w:t>
      </w:r>
    </w:p>
    <w:p>
      <w:pPr>
        <w:pStyle w:val="ListNumber"/>
      </w:pPr>
      <w:r>
        <w:t>Use a Matriz dos Oito Desperdícios para nomear sinais sem transformá-los em culpados.</w:t>
      </w:r>
    </w:p>
    <w:p>
      <w:pPr>
        <w:pStyle w:val="ListNumber"/>
      </w:pPr>
      <w:r>
        <w:t>Registre evidências na planilha Registro de Desperdícios.</w:t>
      </w:r>
    </w:p>
    <w:p>
      <w:pPr>
        <w:pStyle w:val="ListNumber"/>
      </w:pPr>
      <w:r>
        <w:t>Mapeie etapas, esperas e handoffs na aba VSM e Eficiência.</w:t>
      </w:r>
    </w:p>
    <w:p>
      <w:pPr>
        <w:pStyle w:val="ListNumber"/>
      </w:pPr>
      <w:r>
        <w:t>Estime ordem de grandeza do custo e priorize por impacto, frequência, risco e governabilidade.</w:t>
      </w:r>
    </w:p>
    <w:p>
      <w:pPr>
        <w:pStyle w:val="ListNumber"/>
      </w:pPr>
      <w:r>
        <w:t>Escolha no máximo dois experimentos e reserve capacidade para executá-los.</w:t>
      </w:r>
    </w:p>
    <w:p>
      <w:pPr>
        <w:pStyle w:val="ListNumber"/>
      </w:pPr>
      <w:r>
        <w:t>Registre decisões e acompanhe benefícios, não apenas entregas.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092"/>
      </w:tblGrid>
      <w:tr>
        <w:tc>
          <w:tcPr>
            <w:tcW w:type="dxa" w:w="10092"/>
            <w:shd w:fill="EEF4F6"/>
            <w:tcBorders>
              <w:top w:val="single" w:sz="6" w:color="1F4E5F"/>
              <w:left w:val="single" w:sz="6" w:color="1F4E5F"/>
              <w:bottom w:val="single" w:sz="6" w:color="1F4E5F"/>
              <w:right w:val="single" w:sz="6" w:color="1F4E5F"/>
              <w:insideH w:val="single" w:sz="6" w:color="1F4E5F"/>
              <w:insideV w:val="single" w:sz="6" w:color="1F4E5F"/>
            </w:tcBorders>
          </w:tcPr>
          <w:p>
            <w:r>
              <w:rPr>
                <w:b/>
                <w:color w:val="1F4E5F"/>
              </w:rPr>
              <w:t>Princípio central</w:t>
              <w:br/>
            </w:r>
            <w:r>
              <w:t>O kit ajuda a estruturar a conversa; não substitui observação do trabalho real, julgamento profissional, requisitos legais nem padrões específicos do setor.</w:t>
            </w:r>
          </w:p>
        </w:tc>
      </w:tr>
    </w:tbl>
    <w:p>
      <w:pPr>
        <w:pStyle w:val="Heading1"/>
      </w:pPr>
      <w:r>
        <w:t>Campos e cores da planilha</w:t>
      </w:r>
    </w:p>
    <w:p>
      <w:pPr>
        <w:pStyle w:val="ListBullet"/>
      </w:pPr>
      <w:r>
        <w:t>Amarelo: preenchimento manual.</w:t>
      </w:r>
    </w:p>
    <w:p>
      <w:pPr>
        <w:pStyle w:val="ListBullet"/>
      </w:pPr>
      <w:r>
        <w:t>Verde: fórmula ou cálculo automático.</w:t>
      </w:r>
    </w:p>
    <w:p>
      <w:pPr>
        <w:pStyle w:val="ListBullet"/>
      </w:pPr>
      <w:r>
        <w:t>Escala 0–4: inexistente, episódico, parcial, consistente, sustentável.</w:t>
      </w:r>
    </w:p>
    <w:p>
      <w:pPr>
        <w:pStyle w:val="ListBullet"/>
      </w:pPr>
      <w:r>
        <w:t>Escala 1–5: intensidade crescente de frequência, severidade, risco ou governabilidade.</w:t>
      </w:r>
    </w:p>
    <w:p>
      <w:pPr>
        <w:pStyle w:val="Heading1"/>
      </w:pPr>
      <w:r>
        <w:t>Uso responsável de inteligência artificial</w:t>
      </w:r>
    </w:p>
    <w:p>
      <w:pPr>
        <w:pStyle w:val="ListBullet"/>
      </w:pPr>
      <w:r>
        <w:t>Não envie dados confidenciais, pessoais, regulados ou estratégicos sem autorização.</w:t>
      </w:r>
    </w:p>
    <w:p>
      <w:pPr>
        <w:pStyle w:val="ListBullet"/>
      </w:pPr>
      <w:r>
        <w:t>Peça separação entre evidência, inferência e informação faltante.</w:t>
      </w:r>
    </w:p>
    <w:p>
      <w:pPr>
        <w:pStyle w:val="ListBullet"/>
      </w:pPr>
      <w:r>
        <w:t>Exija fontes ou rastreabilidade quando a decisão depender de fatos externos.</w:t>
      </w:r>
    </w:p>
    <w:p>
      <w:pPr>
        <w:pStyle w:val="ListBullet"/>
      </w:pPr>
      <w:r>
        <w:t>Defina quem revisa, com qual competência e antes de qual decisão.</w:t>
      </w:r>
    </w:p>
    <w:p>
      <w:pPr>
        <w:pStyle w:val="ListBullet"/>
      </w:pPr>
      <w:r>
        <w:t>Meça o fluxo completo, incluindo retrabalho de revisão.</w:t>
      </w:r>
    </w:p>
    <w:p>
      <w:pPr>
        <w:pStyle w:val="Heading1"/>
      </w:pPr>
      <w:r>
        <w:t>Direitos e versão</w:t>
      </w:r>
    </w:p>
    <w:p>
      <w:r>
        <w:t>Copyright © 2026 Cristiano Moraes e Geneilton Prata. Material complementar destinado aos leitores da obra. Não deve ser vendido separadamente nem redistribuído sem autorização dos autores.</w:t>
      </w:r>
    </w:p>
    <w:p>
      <w:r>
        <w:rPr>
          <w:b/>
        </w:rPr>
        <w:t>Versão do kit:</w:t>
      </w:r>
      <w:r>
        <w:t xml:space="preserve"> 1.0 • Brasil • 2026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907" w:right="907" w:bottom="907" w:left="907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color w:val="5B6573"/>
        <w:sz w:val="16"/>
      </w:rPr>
      <w:t>Evitando Desperdícios em Projetos — material complementar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52" w:lineRule="auto"/>
    </w:pPr>
    <w:rPr>
      <w:rFonts w:ascii="Aptos" w:hAnsi="Aptos"/>
      <w:color w:val="17324D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F4E5F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7324D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Aptos" w:hAnsi="Aptos"/>
      <w:b/>
      <w:bCs/>
      <w:color w:val="1F4E5F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00" w:line="240" w:lineRule="auto" w:before="200"/>
      <w:contextualSpacing/>
    </w:pPr>
    <w:rPr>
      <w:rFonts w:asciiTheme="majorHAnsi" w:eastAsiaTheme="majorEastAsia" w:hAnsiTheme="majorHAnsi" w:cstheme="majorBidi" w:ascii="Aptos Display" w:hAnsi="Aptos Display"/>
      <w:b/>
      <w:color w:val="1F4E5F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before="200" w:after="100"/>
    </w:pPr>
    <w:rPr>
      <w:rFonts w:asciiTheme="majorHAnsi" w:eastAsiaTheme="majorEastAsia" w:hAnsiTheme="majorHAnsi" w:cstheme="majorBidi" w:ascii="Aptos" w:hAnsi="Aptos"/>
      <w:b w:val="0"/>
      <w:i/>
      <w:iCs/>
      <w:color w:val="5B6573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Note">
    <w:name w:val="Small Note"/>
    <w:rPr>
      <w:rFonts w:ascii="Aptos" w:hAnsi="Aptos"/>
      <w:i/>
      <w:color w:val="5B6573"/>
      <w:sz w:val="17"/>
    </w:rPr>
  </w:style>
  <w:style w:type="paragraph" w:customStyle="1" w:styleId="FormLabel">
    <w:name w:val="Form Label"/>
    <w:rPr>
      <w:rFonts w:ascii="Aptos" w:hAnsi="Aptos"/>
      <w:b/>
      <w:color w:val="17324D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